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5000" w:type="pct"/>
        <w:tblInd w:w="0" w:type="dxa"/>
        <w:tblLook w:val="04A0" w:firstRow="1" w:lastRow="0" w:firstColumn="1" w:lastColumn="0" w:noHBand="0" w:noVBand="1"/>
      </w:tblPr>
      <w:tblGrid>
        <w:gridCol w:w="77"/>
        <w:gridCol w:w="2924"/>
        <w:gridCol w:w="697"/>
        <w:gridCol w:w="333"/>
        <w:gridCol w:w="818"/>
        <w:gridCol w:w="197"/>
        <w:gridCol w:w="818"/>
        <w:gridCol w:w="818"/>
        <w:gridCol w:w="818"/>
        <w:gridCol w:w="3273"/>
      </w:tblGrid>
      <w:tr w:rsidR="003D1FF7">
        <w:trPr>
          <w:cantSplit/>
          <w:trHeight w:val="117"/>
        </w:trPr>
        <w:tc>
          <w:tcPr>
            <w:tcW w:w="75" w:type="dxa"/>
            <w:shd w:val="clear" w:color="auto" w:fill="auto"/>
            <w:vAlign w:val="bottom"/>
          </w:tcPr>
          <w:p w:rsidR="003D1FF7" w:rsidRDefault="003D1FF7"/>
        </w:tc>
        <w:tc>
          <w:tcPr>
            <w:tcW w:w="2895" w:type="dxa"/>
            <w:shd w:val="clear" w:color="auto" w:fill="auto"/>
            <w:vAlign w:val="bottom"/>
          </w:tcPr>
          <w:p w:rsidR="003D1FF7" w:rsidRDefault="003D1FF7"/>
        </w:tc>
        <w:tc>
          <w:tcPr>
            <w:tcW w:w="690" w:type="dxa"/>
            <w:shd w:val="clear" w:color="auto" w:fill="auto"/>
            <w:vAlign w:val="bottom"/>
          </w:tcPr>
          <w:p w:rsidR="003D1FF7" w:rsidRDefault="003D1FF7"/>
        </w:tc>
        <w:tc>
          <w:tcPr>
            <w:tcW w:w="330" w:type="dxa"/>
            <w:shd w:val="clear" w:color="auto" w:fill="auto"/>
            <w:vAlign w:val="bottom"/>
          </w:tcPr>
          <w:p w:rsidR="003D1FF7" w:rsidRDefault="003D1FF7"/>
        </w:tc>
        <w:tc>
          <w:tcPr>
            <w:tcW w:w="810" w:type="dxa"/>
            <w:shd w:val="clear" w:color="auto" w:fill="auto"/>
            <w:vAlign w:val="bottom"/>
          </w:tcPr>
          <w:p w:rsidR="003D1FF7" w:rsidRDefault="003D1FF7"/>
        </w:tc>
        <w:tc>
          <w:tcPr>
            <w:tcW w:w="195" w:type="dxa"/>
            <w:shd w:val="clear" w:color="auto" w:fill="auto"/>
            <w:vAlign w:val="bottom"/>
          </w:tcPr>
          <w:p w:rsidR="003D1FF7" w:rsidRDefault="003D1FF7"/>
        </w:tc>
        <w:tc>
          <w:tcPr>
            <w:tcW w:w="810" w:type="dxa"/>
            <w:shd w:val="clear" w:color="auto" w:fill="auto"/>
            <w:vAlign w:val="bottom"/>
          </w:tcPr>
          <w:p w:rsidR="003D1FF7" w:rsidRDefault="003D1FF7"/>
        </w:tc>
        <w:tc>
          <w:tcPr>
            <w:tcW w:w="810" w:type="dxa"/>
            <w:shd w:val="clear" w:color="auto" w:fill="auto"/>
            <w:vAlign w:val="bottom"/>
          </w:tcPr>
          <w:p w:rsidR="003D1FF7" w:rsidRDefault="003D1FF7"/>
        </w:tc>
        <w:tc>
          <w:tcPr>
            <w:tcW w:w="810" w:type="dxa"/>
            <w:shd w:val="clear" w:color="auto" w:fill="auto"/>
            <w:vAlign w:val="bottom"/>
          </w:tcPr>
          <w:p w:rsidR="003D1FF7" w:rsidRDefault="003D1FF7"/>
        </w:tc>
        <w:tc>
          <w:tcPr>
            <w:tcW w:w="3240" w:type="dxa"/>
            <w:shd w:val="clear" w:color="auto" w:fill="auto"/>
            <w:vAlign w:val="bottom"/>
          </w:tcPr>
          <w:p w:rsidR="003D1FF7" w:rsidRDefault="003D1FF7"/>
        </w:tc>
      </w:tr>
      <w:tr w:rsidR="003D1FF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D1FF7" w:rsidRDefault="003D1FF7"/>
        </w:tc>
        <w:tc>
          <w:tcPr>
            <w:tcW w:w="2895" w:type="dxa"/>
            <w:shd w:val="clear" w:color="auto" w:fill="auto"/>
            <w:vAlign w:val="bottom"/>
          </w:tcPr>
          <w:p w:rsidR="003D1FF7" w:rsidRDefault="003D1FF7"/>
        </w:tc>
        <w:tc>
          <w:tcPr>
            <w:tcW w:w="7695" w:type="dxa"/>
            <w:gridSpan w:val="8"/>
            <w:shd w:val="clear" w:color="auto" w:fill="auto"/>
            <w:vAlign w:val="bottom"/>
          </w:tcPr>
          <w:p w:rsidR="005049F6" w:rsidRPr="005049F6" w:rsidRDefault="005049F6" w:rsidP="005049F6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5049F6">
              <w:rPr>
                <w:rFonts w:ascii="Times New Roman" w:hAnsi="Times New Roman"/>
                <w:sz w:val="15"/>
                <w:szCs w:val="15"/>
              </w:rPr>
              <w:t xml:space="preserve">Приложение № </w:t>
            </w:r>
            <w:r>
              <w:rPr>
                <w:rFonts w:ascii="Times New Roman" w:hAnsi="Times New Roman"/>
                <w:sz w:val="15"/>
                <w:szCs w:val="15"/>
              </w:rPr>
              <w:t>5</w:t>
            </w:r>
          </w:p>
          <w:p w:rsidR="005049F6" w:rsidRPr="005049F6" w:rsidRDefault="005049F6" w:rsidP="005049F6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5049F6">
              <w:rPr>
                <w:rFonts w:ascii="Times New Roman" w:hAnsi="Times New Roman"/>
                <w:sz w:val="15"/>
                <w:szCs w:val="15"/>
              </w:rPr>
              <w:t>к Решению Совета Кондопожского городского поселения</w:t>
            </w:r>
          </w:p>
          <w:p w:rsidR="005049F6" w:rsidRPr="005049F6" w:rsidRDefault="005049F6" w:rsidP="005049F6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5049F6">
              <w:rPr>
                <w:rFonts w:ascii="Times New Roman" w:hAnsi="Times New Roman"/>
                <w:sz w:val="15"/>
                <w:szCs w:val="15"/>
              </w:rPr>
              <w:t>«О бюджете Кондопожского городского поселения на 2025 год и</w:t>
            </w:r>
          </w:p>
          <w:p w:rsidR="005049F6" w:rsidRPr="005049F6" w:rsidRDefault="005049F6" w:rsidP="005049F6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5049F6">
              <w:rPr>
                <w:rFonts w:ascii="Times New Roman" w:hAnsi="Times New Roman"/>
                <w:sz w:val="15"/>
                <w:szCs w:val="15"/>
              </w:rPr>
              <w:t>на плановый период 2026 и 2027 годов»</w:t>
            </w:r>
          </w:p>
          <w:p w:rsidR="005049F6" w:rsidRPr="005049F6" w:rsidRDefault="005049F6" w:rsidP="005049F6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proofErr w:type="gramStart"/>
            <w:r w:rsidRPr="005049F6">
              <w:rPr>
                <w:rFonts w:ascii="Times New Roman" w:hAnsi="Times New Roman"/>
                <w:sz w:val="15"/>
                <w:szCs w:val="15"/>
              </w:rPr>
              <w:t>(в редакции Решения Совета Кондопожского городского поселения</w:t>
            </w:r>
            <w:proofErr w:type="gramEnd"/>
          </w:p>
          <w:p w:rsidR="005049F6" w:rsidRPr="005049F6" w:rsidRDefault="005049F6" w:rsidP="005049F6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5049F6">
              <w:rPr>
                <w:rFonts w:ascii="Times New Roman" w:hAnsi="Times New Roman"/>
                <w:sz w:val="15"/>
                <w:szCs w:val="15"/>
              </w:rPr>
              <w:t xml:space="preserve">от </w:t>
            </w:r>
            <w:r w:rsidR="000F7F07">
              <w:rPr>
                <w:rFonts w:ascii="Times New Roman" w:hAnsi="Times New Roman"/>
                <w:sz w:val="15"/>
                <w:szCs w:val="15"/>
              </w:rPr>
              <w:t>17</w:t>
            </w:r>
            <w:r w:rsidRPr="005049F6">
              <w:rPr>
                <w:rFonts w:ascii="Times New Roman" w:hAnsi="Times New Roman"/>
                <w:sz w:val="15"/>
                <w:szCs w:val="15"/>
              </w:rPr>
              <w:t xml:space="preserve"> сентябр</w:t>
            </w:r>
            <w:r>
              <w:rPr>
                <w:rFonts w:ascii="Times New Roman" w:hAnsi="Times New Roman"/>
                <w:sz w:val="15"/>
                <w:szCs w:val="15"/>
              </w:rPr>
              <w:t>я</w:t>
            </w:r>
            <w:r w:rsidRPr="005049F6">
              <w:rPr>
                <w:rFonts w:ascii="Times New Roman" w:hAnsi="Times New Roman"/>
                <w:sz w:val="15"/>
                <w:szCs w:val="15"/>
              </w:rPr>
              <w:t xml:space="preserve"> 2025 года № </w:t>
            </w:r>
            <w:r w:rsidR="000F7F07">
              <w:rPr>
                <w:rFonts w:ascii="Times New Roman" w:hAnsi="Times New Roman"/>
                <w:sz w:val="15"/>
                <w:szCs w:val="15"/>
              </w:rPr>
              <w:t>3</w:t>
            </w:r>
            <w:bookmarkStart w:id="0" w:name="_GoBack"/>
            <w:bookmarkEnd w:id="0"/>
          </w:p>
          <w:p w:rsidR="005049F6" w:rsidRPr="005049F6" w:rsidRDefault="005049F6" w:rsidP="005049F6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5049F6">
              <w:rPr>
                <w:rFonts w:ascii="Times New Roman" w:hAnsi="Times New Roman"/>
                <w:sz w:val="15"/>
                <w:szCs w:val="15"/>
              </w:rPr>
              <w:t>«О внесении изменений в Решение Совета Кондопожского городского поселения</w:t>
            </w:r>
          </w:p>
          <w:p w:rsidR="005049F6" w:rsidRPr="005049F6" w:rsidRDefault="005049F6" w:rsidP="005049F6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5049F6">
              <w:rPr>
                <w:rFonts w:ascii="Times New Roman" w:hAnsi="Times New Roman"/>
                <w:sz w:val="15"/>
                <w:szCs w:val="15"/>
              </w:rPr>
              <w:t>от 12  декабря  2024 года №1</w:t>
            </w:r>
          </w:p>
          <w:p w:rsidR="005049F6" w:rsidRPr="005049F6" w:rsidRDefault="005049F6" w:rsidP="005049F6">
            <w:pPr>
              <w:jc w:val="right"/>
              <w:rPr>
                <w:rFonts w:ascii="Times New Roman" w:hAnsi="Times New Roman"/>
                <w:sz w:val="15"/>
                <w:szCs w:val="15"/>
              </w:rPr>
            </w:pPr>
            <w:r w:rsidRPr="005049F6">
              <w:rPr>
                <w:rFonts w:ascii="Times New Roman" w:hAnsi="Times New Roman"/>
                <w:sz w:val="15"/>
                <w:szCs w:val="15"/>
              </w:rPr>
              <w:t>«О бюджете Кондопожского городского поселения на 2025 год и</w:t>
            </w:r>
          </w:p>
          <w:p w:rsidR="003D1FF7" w:rsidRDefault="005049F6" w:rsidP="005049F6">
            <w:pPr>
              <w:jc w:val="right"/>
            </w:pPr>
            <w:r w:rsidRPr="005049F6">
              <w:rPr>
                <w:rFonts w:ascii="Times New Roman" w:hAnsi="Times New Roman"/>
                <w:sz w:val="15"/>
                <w:szCs w:val="15"/>
              </w:rPr>
              <w:t>на плановый период 2026 и 2027 годов»).</w:t>
            </w:r>
          </w:p>
        </w:tc>
      </w:tr>
      <w:tr w:rsidR="003D1FF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D1FF7" w:rsidRDefault="003D1FF7"/>
        </w:tc>
        <w:tc>
          <w:tcPr>
            <w:tcW w:w="2895" w:type="dxa"/>
            <w:shd w:val="clear" w:color="auto" w:fill="auto"/>
            <w:vAlign w:val="bottom"/>
          </w:tcPr>
          <w:p w:rsidR="003D1FF7" w:rsidRDefault="003D1FF7">
            <w:pPr>
              <w:jc w:val="center"/>
            </w:pPr>
          </w:p>
        </w:tc>
        <w:tc>
          <w:tcPr>
            <w:tcW w:w="690" w:type="dxa"/>
            <w:shd w:val="clear" w:color="auto" w:fill="auto"/>
            <w:vAlign w:val="bottom"/>
          </w:tcPr>
          <w:p w:rsidR="003D1FF7" w:rsidRDefault="003D1FF7"/>
        </w:tc>
        <w:tc>
          <w:tcPr>
            <w:tcW w:w="330" w:type="dxa"/>
            <w:shd w:val="clear" w:color="auto" w:fill="auto"/>
            <w:vAlign w:val="bottom"/>
          </w:tcPr>
          <w:p w:rsidR="003D1FF7" w:rsidRDefault="003D1FF7"/>
        </w:tc>
        <w:tc>
          <w:tcPr>
            <w:tcW w:w="810" w:type="dxa"/>
            <w:shd w:val="clear" w:color="auto" w:fill="auto"/>
            <w:vAlign w:val="bottom"/>
          </w:tcPr>
          <w:p w:rsidR="003D1FF7" w:rsidRDefault="003D1FF7"/>
        </w:tc>
        <w:tc>
          <w:tcPr>
            <w:tcW w:w="195" w:type="dxa"/>
            <w:shd w:val="clear" w:color="auto" w:fill="auto"/>
            <w:vAlign w:val="bottom"/>
          </w:tcPr>
          <w:p w:rsidR="003D1FF7" w:rsidRDefault="003D1FF7"/>
        </w:tc>
        <w:tc>
          <w:tcPr>
            <w:tcW w:w="810" w:type="dxa"/>
            <w:shd w:val="clear" w:color="auto" w:fill="auto"/>
            <w:vAlign w:val="bottom"/>
          </w:tcPr>
          <w:p w:rsidR="003D1FF7" w:rsidRDefault="003D1FF7"/>
        </w:tc>
        <w:tc>
          <w:tcPr>
            <w:tcW w:w="810" w:type="dxa"/>
            <w:shd w:val="clear" w:color="auto" w:fill="auto"/>
            <w:vAlign w:val="bottom"/>
          </w:tcPr>
          <w:p w:rsidR="003D1FF7" w:rsidRDefault="003D1FF7"/>
        </w:tc>
        <w:tc>
          <w:tcPr>
            <w:tcW w:w="810" w:type="dxa"/>
            <w:shd w:val="clear" w:color="auto" w:fill="auto"/>
            <w:vAlign w:val="bottom"/>
          </w:tcPr>
          <w:p w:rsidR="003D1FF7" w:rsidRDefault="003D1FF7"/>
        </w:tc>
        <w:tc>
          <w:tcPr>
            <w:tcW w:w="3240" w:type="dxa"/>
            <w:shd w:val="clear" w:color="auto" w:fill="auto"/>
            <w:vAlign w:val="bottom"/>
          </w:tcPr>
          <w:p w:rsidR="003D1FF7" w:rsidRDefault="003D1FF7"/>
        </w:tc>
      </w:tr>
      <w:tr w:rsidR="003D1FF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D1FF7" w:rsidRDefault="003D1FF7"/>
        </w:tc>
        <w:tc>
          <w:tcPr>
            <w:tcW w:w="10590" w:type="dxa"/>
            <w:gridSpan w:val="9"/>
            <w:vMerge w:val="restart"/>
            <w:shd w:val="clear" w:color="auto" w:fill="auto"/>
            <w:vAlign w:val="bottom"/>
          </w:tcPr>
          <w:p w:rsidR="003D1FF7" w:rsidRDefault="005049F6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 xml:space="preserve"> Распределение бюджетных ассигнований на 2026 и 2027 годы по разделам, подразделам,</w:t>
            </w:r>
          </w:p>
          <w:p w:rsidR="003D1FF7" w:rsidRDefault="005049F6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 xml:space="preserve">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19"/>
                <w:szCs w:val="19"/>
              </w:rPr>
              <w:t>видов расходов классификации расходов бюджетов</w:t>
            </w:r>
            <w:proofErr w:type="gramEnd"/>
          </w:p>
          <w:p w:rsidR="003D1FF7" w:rsidRDefault="005049F6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бюджета Кондопожского городского поселения</w:t>
            </w:r>
          </w:p>
        </w:tc>
      </w:tr>
      <w:tr w:rsidR="003D1FF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D1FF7" w:rsidRDefault="003D1FF7"/>
        </w:tc>
        <w:tc>
          <w:tcPr>
            <w:tcW w:w="10590" w:type="dxa"/>
            <w:gridSpan w:val="9"/>
            <w:vMerge/>
            <w:shd w:val="clear" w:color="auto" w:fill="auto"/>
            <w:vAlign w:val="bottom"/>
          </w:tcPr>
          <w:p w:rsidR="003D1FF7" w:rsidRDefault="003D1FF7"/>
        </w:tc>
      </w:tr>
      <w:tr w:rsidR="003D1FF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D1FF7" w:rsidRDefault="003D1FF7"/>
        </w:tc>
        <w:tc>
          <w:tcPr>
            <w:tcW w:w="2895" w:type="dxa"/>
            <w:shd w:val="clear" w:color="auto" w:fill="auto"/>
            <w:vAlign w:val="bottom"/>
          </w:tcPr>
          <w:p w:rsidR="003D1FF7" w:rsidRDefault="003D1FF7"/>
        </w:tc>
        <w:tc>
          <w:tcPr>
            <w:tcW w:w="690" w:type="dxa"/>
            <w:shd w:val="clear" w:color="auto" w:fill="auto"/>
            <w:vAlign w:val="bottom"/>
          </w:tcPr>
          <w:p w:rsidR="003D1FF7" w:rsidRDefault="003D1FF7"/>
        </w:tc>
        <w:tc>
          <w:tcPr>
            <w:tcW w:w="330" w:type="dxa"/>
            <w:shd w:val="clear" w:color="auto" w:fill="auto"/>
            <w:vAlign w:val="bottom"/>
          </w:tcPr>
          <w:p w:rsidR="003D1FF7" w:rsidRDefault="003D1FF7"/>
        </w:tc>
        <w:tc>
          <w:tcPr>
            <w:tcW w:w="810" w:type="dxa"/>
            <w:shd w:val="clear" w:color="auto" w:fill="auto"/>
            <w:vAlign w:val="bottom"/>
          </w:tcPr>
          <w:p w:rsidR="003D1FF7" w:rsidRDefault="003D1FF7"/>
        </w:tc>
        <w:tc>
          <w:tcPr>
            <w:tcW w:w="195" w:type="dxa"/>
            <w:shd w:val="clear" w:color="auto" w:fill="auto"/>
            <w:vAlign w:val="bottom"/>
          </w:tcPr>
          <w:p w:rsidR="003D1FF7" w:rsidRDefault="003D1FF7"/>
        </w:tc>
        <w:tc>
          <w:tcPr>
            <w:tcW w:w="810" w:type="dxa"/>
            <w:shd w:val="clear" w:color="auto" w:fill="auto"/>
            <w:vAlign w:val="bottom"/>
          </w:tcPr>
          <w:p w:rsidR="003D1FF7" w:rsidRDefault="003D1FF7"/>
        </w:tc>
        <w:tc>
          <w:tcPr>
            <w:tcW w:w="810" w:type="dxa"/>
            <w:shd w:val="clear" w:color="auto" w:fill="auto"/>
            <w:vAlign w:val="bottom"/>
          </w:tcPr>
          <w:p w:rsidR="003D1FF7" w:rsidRDefault="003D1FF7"/>
        </w:tc>
        <w:tc>
          <w:tcPr>
            <w:tcW w:w="810" w:type="dxa"/>
            <w:shd w:val="clear" w:color="auto" w:fill="auto"/>
            <w:vAlign w:val="bottom"/>
          </w:tcPr>
          <w:p w:rsidR="003D1FF7" w:rsidRDefault="003D1FF7"/>
        </w:tc>
        <w:tc>
          <w:tcPr>
            <w:tcW w:w="3240" w:type="dxa"/>
            <w:shd w:val="clear" w:color="auto" w:fill="auto"/>
            <w:vAlign w:val="bottom"/>
          </w:tcPr>
          <w:p w:rsidR="003D1FF7" w:rsidRDefault="003D1FF7"/>
        </w:tc>
      </w:tr>
      <w:tr w:rsidR="003D1FF7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3D1FF7" w:rsidRDefault="003D1FF7"/>
        </w:tc>
        <w:tc>
          <w:tcPr>
            <w:tcW w:w="2895" w:type="dxa"/>
            <w:shd w:val="clear" w:color="auto" w:fill="auto"/>
            <w:vAlign w:val="bottom"/>
          </w:tcPr>
          <w:p w:rsidR="003D1FF7" w:rsidRDefault="003D1FF7"/>
        </w:tc>
        <w:tc>
          <w:tcPr>
            <w:tcW w:w="690" w:type="dxa"/>
            <w:shd w:val="clear" w:color="auto" w:fill="auto"/>
            <w:vAlign w:val="bottom"/>
          </w:tcPr>
          <w:p w:rsidR="003D1FF7" w:rsidRDefault="003D1FF7"/>
        </w:tc>
        <w:tc>
          <w:tcPr>
            <w:tcW w:w="330" w:type="dxa"/>
            <w:shd w:val="clear" w:color="auto" w:fill="auto"/>
            <w:vAlign w:val="bottom"/>
          </w:tcPr>
          <w:p w:rsidR="003D1FF7" w:rsidRDefault="003D1FF7"/>
        </w:tc>
        <w:tc>
          <w:tcPr>
            <w:tcW w:w="810" w:type="dxa"/>
            <w:shd w:val="clear" w:color="auto" w:fill="auto"/>
            <w:vAlign w:val="bottom"/>
          </w:tcPr>
          <w:p w:rsidR="003D1FF7" w:rsidRDefault="003D1FF7"/>
        </w:tc>
        <w:tc>
          <w:tcPr>
            <w:tcW w:w="195" w:type="dxa"/>
            <w:shd w:val="clear" w:color="auto" w:fill="auto"/>
            <w:vAlign w:val="bottom"/>
          </w:tcPr>
          <w:p w:rsidR="003D1FF7" w:rsidRDefault="003D1FF7"/>
        </w:tc>
        <w:tc>
          <w:tcPr>
            <w:tcW w:w="810" w:type="dxa"/>
            <w:shd w:val="clear" w:color="auto" w:fill="auto"/>
            <w:vAlign w:val="bottom"/>
          </w:tcPr>
          <w:p w:rsidR="003D1FF7" w:rsidRDefault="003D1FF7"/>
        </w:tc>
        <w:tc>
          <w:tcPr>
            <w:tcW w:w="810" w:type="dxa"/>
            <w:shd w:val="clear" w:color="auto" w:fill="auto"/>
            <w:vAlign w:val="bottom"/>
          </w:tcPr>
          <w:p w:rsidR="003D1FF7" w:rsidRDefault="003D1FF7"/>
        </w:tc>
        <w:tc>
          <w:tcPr>
            <w:tcW w:w="810" w:type="dxa"/>
            <w:shd w:val="clear" w:color="auto" w:fill="auto"/>
            <w:vAlign w:val="bottom"/>
          </w:tcPr>
          <w:p w:rsidR="003D1FF7" w:rsidRDefault="003D1FF7"/>
        </w:tc>
        <w:tc>
          <w:tcPr>
            <w:tcW w:w="3240" w:type="dxa"/>
            <w:shd w:val="clear" w:color="auto" w:fill="auto"/>
            <w:vAlign w:val="bottom"/>
          </w:tcPr>
          <w:p w:rsidR="003D1FF7" w:rsidRDefault="003D1FF7"/>
        </w:tc>
      </w:tr>
    </w:tbl>
    <w:tbl>
      <w:tblPr>
        <w:tblStyle w:val="TableStyle1"/>
        <w:tblW w:w="5000" w:type="pct"/>
        <w:tblInd w:w="0" w:type="dxa"/>
        <w:tblLook w:val="04A0" w:firstRow="1" w:lastRow="0" w:firstColumn="1" w:lastColumn="0" w:noHBand="0" w:noVBand="1"/>
      </w:tblPr>
      <w:tblGrid>
        <w:gridCol w:w="60"/>
        <w:gridCol w:w="4861"/>
        <w:gridCol w:w="453"/>
        <w:gridCol w:w="453"/>
        <w:gridCol w:w="1268"/>
        <w:gridCol w:w="710"/>
        <w:gridCol w:w="1495"/>
        <w:gridCol w:w="1479"/>
      </w:tblGrid>
      <w:tr w:rsidR="003D1FF7">
        <w:trPr>
          <w:cantSplit/>
          <w:tblHeader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Наименование</w:t>
            </w:r>
          </w:p>
        </w:tc>
        <w:tc>
          <w:tcPr>
            <w:tcW w:w="286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Код</w:t>
            </w:r>
          </w:p>
        </w:tc>
        <w:tc>
          <w:tcPr>
            <w:tcW w:w="2955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D1FF7" w:rsidRDefault="005049F6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Бюджетные ассигнования</w:t>
            </w:r>
          </w:p>
          <w:p w:rsidR="003D1FF7" w:rsidRDefault="005049F6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15"/>
                <w:szCs w:val="15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15"/>
                <w:szCs w:val="15"/>
              </w:rPr>
              <w:t>)</w:t>
            </w:r>
          </w:p>
        </w:tc>
      </w:tr>
      <w:tr w:rsidR="003D1FF7">
        <w:trPr>
          <w:cantSplit/>
          <w:trHeight w:val="149"/>
        </w:trPr>
        <w:tc>
          <w:tcPr>
            <w:tcW w:w="60" w:type="dxa"/>
            <w:vMerge w:val="restart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3D1FF7"/>
        </w:tc>
        <w:tc>
          <w:tcPr>
            <w:tcW w:w="45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D1FF7" w:rsidRDefault="005049F6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Раздела</w:t>
            </w:r>
          </w:p>
        </w:tc>
        <w:tc>
          <w:tcPr>
            <w:tcW w:w="45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D1FF7" w:rsidRDefault="005049F6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Подраздела</w:t>
            </w:r>
          </w:p>
        </w:tc>
        <w:tc>
          <w:tcPr>
            <w:tcW w:w="12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D1FF7" w:rsidRDefault="005049F6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Целевой статьи</w:t>
            </w:r>
          </w:p>
        </w:tc>
        <w:tc>
          <w:tcPr>
            <w:tcW w:w="70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3D1FF7" w:rsidRDefault="005049F6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Вида расходов</w:t>
            </w:r>
          </w:p>
          <w:p w:rsidR="003D1FF7" w:rsidRDefault="005049F6">
            <w:pPr>
              <w:jc w:val="center"/>
            </w:pPr>
            <w:proofErr w:type="gramStart"/>
            <w:r>
              <w:rPr>
                <w:rFonts w:ascii="Times New Roman" w:hAnsi="Times New Roman"/>
                <w:b/>
                <w:sz w:val="15"/>
                <w:szCs w:val="15"/>
              </w:rPr>
              <w:t>(группа,</w:t>
            </w:r>
            <w:proofErr w:type="gramEnd"/>
          </w:p>
          <w:p w:rsidR="003D1FF7" w:rsidRDefault="005049F6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подгруппа)</w:t>
            </w:r>
          </w:p>
        </w:tc>
        <w:tc>
          <w:tcPr>
            <w:tcW w:w="2955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3D1FF7"/>
        </w:tc>
      </w:tr>
      <w:tr w:rsidR="003D1FF7" w:rsidTr="005049F6">
        <w:trPr>
          <w:cantSplit/>
          <w:trHeight w:val="1433"/>
        </w:trPr>
        <w:tc>
          <w:tcPr>
            <w:tcW w:w="60" w:type="dxa"/>
            <w:vMerge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3D1FF7"/>
        </w:tc>
        <w:tc>
          <w:tcPr>
            <w:tcW w:w="45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3D1FF7"/>
        </w:tc>
        <w:tc>
          <w:tcPr>
            <w:tcW w:w="45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3D1FF7"/>
        </w:tc>
        <w:tc>
          <w:tcPr>
            <w:tcW w:w="12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3D1FF7"/>
        </w:tc>
        <w:tc>
          <w:tcPr>
            <w:tcW w:w="70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3D1FF7"/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D1FF7" w:rsidRDefault="005049F6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на 2026 год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D1FF7" w:rsidRDefault="005049F6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на 2027 год</w:t>
            </w:r>
          </w:p>
        </w:tc>
      </w:tr>
    </w:tbl>
    <w:tbl>
      <w:tblPr>
        <w:tblStyle w:val="TableStyle2"/>
        <w:tblW w:w="5000" w:type="pct"/>
        <w:tblInd w:w="0" w:type="dxa"/>
        <w:tblLook w:val="04A0" w:firstRow="1" w:lastRow="0" w:firstColumn="1" w:lastColumn="0" w:noHBand="0" w:noVBand="1"/>
      </w:tblPr>
      <w:tblGrid>
        <w:gridCol w:w="60"/>
        <w:gridCol w:w="4861"/>
        <w:gridCol w:w="453"/>
        <w:gridCol w:w="453"/>
        <w:gridCol w:w="1268"/>
        <w:gridCol w:w="710"/>
        <w:gridCol w:w="1495"/>
        <w:gridCol w:w="1479"/>
      </w:tblGrid>
      <w:tr w:rsidR="003D1FF7">
        <w:trPr>
          <w:cantSplit/>
          <w:tblHeader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8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b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1 556 183,94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1 556 183,94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b/>
                <w:sz w:val="19"/>
                <w:szCs w:val="19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2 000,00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2 000,00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5500042140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2 000,00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5500042140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2 000,00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5500042140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2 000,00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b/>
                <w:sz w:val="19"/>
                <w:szCs w:val="19"/>
              </w:rPr>
              <w:t>Резервные фонды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300 000,00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300 000,00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5500070330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300 000,00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5500070330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300 000,00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Резервные средства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5500070330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870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300 000,00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b/>
                <w:sz w:val="19"/>
                <w:szCs w:val="19"/>
              </w:rPr>
              <w:t>Другие общегосударственные вопросы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1 254 183,94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1 254 183,94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1 254 183,94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1 254 183,94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5500070111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1 254 183,94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1 254 183,94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1 232 578,94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1 232 578,94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1 232 578,94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1 232 578,94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21 605,00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21 605,00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Уплата налогов, сборов и иных платежей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5500070111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850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21 605,00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21 605,00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b/>
                <w:sz w:val="19"/>
                <w:szCs w:val="19"/>
              </w:rPr>
              <w:t>НАЦИОНАЛЬНАЯ БЕЗОПАСНОСТЬ И ПРАВООХРАНИТЕЛЬНАЯ ДЕЯТЕЛЬНОСТЬ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85 845,36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88 028,04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b/>
                <w:sz w:val="19"/>
                <w:szCs w:val="19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85 845,36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88 028,04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Муниципальная программа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85 845,36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88 028,04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Комплекс процессных мероприятий «Пожарная безопасность»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03К0100000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4 365,36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6 548,04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Реализация основных мероприятий по пожарной безопасности в границах Кондопожского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03К0170311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4 365,36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6 548,04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03К0170311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4 365,36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6 548,04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03К0170311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4 365,36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6 548,04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Комплекс процессных мероприятий «Профилактика терроризма»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03К0200000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81 480,00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81 480,00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участие в профилактике терроризма, а также в минимизации и (или) 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03К0270320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81 480,00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81 480,00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03К0270320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81 480,00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81 480,00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03К0270320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81 480,00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81 480,00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b/>
                <w:sz w:val="19"/>
                <w:szCs w:val="19"/>
              </w:rPr>
              <w:t>НАЦИОНАЛЬНАЯ ЭКОНОМИКА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121 852 268,25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48 090 488,98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b/>
                <w:sz w:val="19"/>
                <w:szCs w:val="19"/>
              </w:rPr>
              <w:t>Транспорт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08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3 034 000,00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3 034 000,00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3 034 000,00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3 034 000,00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5500070411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3 034 000,00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3 034 000,00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5500070411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3 034 000,00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3 034 000,00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5500070411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3 034 000,00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3 034 000,00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b/>
                <w:sz w:val="19"/>
                <w:szCs w:val="19"/>
              </w:rPr>
              <w:t>Дорожное хозяйство (дорожные фонды)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118 818 268,25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45 056 488,98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118 818 268,25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45 056 488,98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5500070410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40 518 268,25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45 056 488,98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5500070410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40 518 268,25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45 056 488,98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5500070410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40 518 268,25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45 056 488,98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Региональный проект «Региональная и местная дорожная сеть» в рамках реализации национального проекта «Инфраструктура для жизни»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55НИ800000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78 300 000,00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Реализация мероприятий по финансовому обеспечению дорожной деятельности на территории Кондопожского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55НИ89Д070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78 300 000,00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55НИ89Д070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78 300 000,00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55НИ89Д070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78 300 000,00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b/>
                <w:sz w:val="19"/>
                <w:szCs w:val="19"/>
              </w:rPr>
              <w:t>ЖИЛИЩНО-КОММУНАЛЬНОЕ ХОЗЯЙСТВО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61 143 252,75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59 809 798,84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b/>
                <w:sz w:val="19"/>
                <w:szCs w:val="19"/>
              </w:rPr>
              <w:t>Жилищное хозяйство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31 216 555,94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42 838 737,87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31 216 555,94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42 838 737,87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Мероприятия в области жилищного хозяйства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867 240,00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867 240,00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867 240,00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867 240,00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867 240,00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867 240,00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1 427 465,47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1 474 054,88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1 427 465,47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1 474 054,88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1 427 465,47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1 474 054,88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5500070518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5 722 514,46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5 736 177,06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5500070518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5 722 514,46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5 736 177,06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5500070518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5 722 514,46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5 736 177,06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5500090510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22 199 336,01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5500090510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22 199 336,01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Бюджетные инвестиции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5500090510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410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22 199 336,01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Приобретение жилых помещений, находящихся на территории Кондопожского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5500090511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33 761 265,93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5500090511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33 761 265,93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Бюджетные инвестиции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5500090511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410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33 761 265,93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Региональный проект «Жилье» в рамках реализации национального проекта «Инфраструктура для жизни»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55НИ200000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1 000 000,00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1 000 000,00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Обеспечение мероприятий по переселению граждан из аварийного жилищного фонда на территории Кондопожского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55НИ267484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1 000 000,00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1 000 000,00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55НИ267484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1 000 000,00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1 000 000,00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Бюджетные инвестиции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55НИ267484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410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1 000 000,00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1 000 000,00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b/>
                <w:sz w:val="19"/>
                <w:szCs w:val="19"/>
              </w:rPr>
              <w:t>Благоустройство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29 926 696,81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16 971 060,97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29 926 696,81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16 971 060,97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Уличное освещение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5500070514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16 803 525,99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4 127 823,43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5500070514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16 803 525,99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4 127 823,43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5500070514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16 803 525,99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4 127 823,43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Организация и содержание мест захоронения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5500070516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2 026 330,00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2 026 330,00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5500070516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2 026 330,00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2 026 330,00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5500070516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2 026 330,00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2 026 330,00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Прочие мероприятия по благоустройству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5500070517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4 074 450,00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4 074 450,00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5500070517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4 074 450,00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4 074 450,00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5500070517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4 074 450,00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4 074 450,00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55НИ400000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7 022 390,82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6 742 457,54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55НИ455550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7 022 390,82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6 742 457,54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55НИ455550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7 022 390,82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6 742 457,54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Резервные средства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55НИ455550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870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7 022 390,82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6 742 457,54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b/>
                <w:sz w:val="19"/>
                <w:szCs w:val="19"/>
              </w:rPr>
              <w:t>ОБРАЗОВАНИЕ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200 026,31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200 026,31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b/>
                <w:sz w:val="19"/>
                <w:szCs w:val="19"/>
              </w:rPr>
              <w:t>Молодежная политика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200 026,31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200 026,31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200 026,31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200 026,31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5500070710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200 026,31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200 026,31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5500070710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200 026,31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200 026,31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5500070710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200 026,31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200 026,31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b/>
                <w:sz w:val="19"/>
                <w:szCs w:val="19"/>
              </w:rPr>
              <w:t>КУЛЬТУРА, КИНЕМАТОГРАФИЯ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17 460 497,40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17 498 177,40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b/>
                <w:sz w:val="19"/>
                <w:szCs w:val="19"/>
              </w:rPr>
              <w:t>Культура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17 460 497,40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17 498 177,40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городском поселении»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17 460 497,40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17 498 177,40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 xml:space="preserve">Комплекс процессных мероприятий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городском поселении»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02К0100000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17 460 497,40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17 498 177,40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02К0170810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17 460 497,40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17 498 177,40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11 593 931,12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11 593 931,12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казенных учреждений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11 593 931,12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11 593 931,12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4 968 570,28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5 006 250,28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4 968 570,28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5 006 250,28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897 996,00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897 996,00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Уплата налогов, сборов и иных платежей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02К0170810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850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897 996,00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897 996,00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b/>
                <w:sz w:val="19"/>
                <w:szCs w:val="19"/>
              </w:rPr>
              <w:t>СОЦИАЛЬНАЯ ПОЛИТИКА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1 180 244,64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1 180 244,64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b/>
                <w:sz w:val="19"/>
                <w:szCs w:val="19"/>
              </w:rPr>
              <w:t>Пенсионное обеспечение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1 180 244,64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1 180 244,64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1 180 244,64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1 180 244,64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5500081000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1 180 244,64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1 180 244,64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Социальное обеспечение и иные выплаты населению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5500081000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1 180 244,64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1 180 244,64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Публичные нормативные социальные выплаты гражданам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5500081000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310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1 180 244,64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1 180 244,64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b/>
                <w:sz w:val="19"/>
                <w:szCs w:val="19"/>
              </w:rPr>
              <w:t>ФИЗИЧЕСКАЯ КУЛЬТУРА И СПОРТ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22 603 121,73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23 892 974,23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b/>
                <w:sz w:val="19"/>
                <w:szCs w:val="19"/>
              </w:rPr>
              <w:t>Массовый спорт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22 603 121,73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23 892 974,23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22 603 121,73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23 892 974,23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 xml:space="preserve"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городском поселении»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01К0100000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22 603 121,73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23 892 974,23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01К0171110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22 603 121,73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23 892 974,23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12 474 233,77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13 684 716,57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казенных учреждений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12 474 233,77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13 684 716,57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9 543 060,96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9 622 430,66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9 543 060,96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9 622 430,66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585 827,00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585 827,00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D1FF7" w:rsidRDefault="005049F6">
            <w:r>
              <w:rPr>
                <w:rFonts w:ascii="Times New Roman" w:hAnsi="Times New Roman"/>
                <w:i/>
                <w:sz w:val="17"/>
                <w:szCs w:val="17"/>
              </w:rPr>
              <w:t>Уплата налогов, сборов и иных платежей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01К0171110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850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585 827,00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585 827,00</w:t>
            </w:r>
          </w:p>
        </w:tc>
      </w:tr>
      <w:tr w:rsidR="003D1FF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D1FF7" w:rsidRDefault="003D1FF7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ИТОГО: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Х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Х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Х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Х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226 081 440,38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D1FF7" w:rsidRDefault="005049F6">
            <w:pPr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152 315 922,38</w:t>
            </w:r>
          </w:p>
        </w:tc>
      </w:tr>
    </w:tbl>
    <w:p w:rsidR="00E12F46" w:rsidRDefault="00E12F46"/>
    <w:sectPr w:rsidR="00E12F46">
      <w:headerReference w:type="default" r:id="rId7"/>
      <w:headerReference w:type="first" r:id="rId8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029" w:rsidRDefault="000D0029">
      <w:pPr>
        <w:spacing w:after="0" w:line="240" w:lineRule="auto"/>
      </w:pPr>
      <w:r>
        <w:separator/>
      </w:r>
    </w:p>
  </w:endnote>
  <w:endnote w:type="continuationSeparator" w:id="0">
    <w:p w:rsidR="000D0029" w:rsidRDefault="000D0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029" w:rsidRDefault="000D0029">
      <w:pPr>
        <w:spacing w:after="0" w:line="240" w:lineRule="auto"/>
      </w:pPr>
      <w:r>
        <w:separator/>
      </w:r>
    </w:p>
  </w:footnote>
  <w:footnote w:type="continuationSeparator" w:id="0">
    <w:p w:rsidR="000D0029" w:rsidRDefault="000D0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9695063"/>
      <w:docPartObj>
        <w:docPartGallery w:val="Page Numbers (Top of Page)"/>
      </w:docPartObj>
    </w:sdtPr>
    <w:sdtEndPr/>
    <w:sdtContent>
      <w:p w:rsidR="003D1FF7" w:rsidRDefault="005049F6">
        <w:r>
          <w:ptab w:relativeTo="margin" w:alignment="right" w:leader="none"/>
        </w:r>
        <w:r>
          <w:rPr>
            <w:rFonts w:ascii="Arial" w:hAnsi="Arial"/>
            <w:sz w:val="13"/>
          </w:rPr>
          <w:t xml:space="preserve">Распределение бюджетных ассигнований по классификации расходов бюджетов на 2025 год, Страница </w:t>
        </w:r>
        <w:r>
          <w:rPr>
            <w:rFonts w:ascii="Arial" w:hAnsi="Arial"/>
            <w:sz w:val="13"/>
          </w:rPr>
          <w:fldChar w:fldCharType="begin"/>
        </w:r>
        <w:r>
          <w:rPr>
            <w:rFonts w:ascii="Arial" w:hAnsi="Arial"/>
            <w:sz w:val="13"/>
          </w:rPr>
          <w:instrText>PAGE   \* MERGEFORMAT</w:instrText>
        </w:r>
        <w:r>
          <w:rPr>
            <w:rFonts w:ascii="Arial" w:hAnsi="Arial"/>
            <w:sz w:val="13"/>
          </w:rPr>
          <w:fldChar w:fldCharType="separate"/>
        </w:r>
        <w:r w:rsidR="000F7F07">
          <w:rPr>
            <w:rFonts w:ascii="Arial" w:hAnsi="Arial"/>
            <w:noProof/>
            <w:sz w:val="13"/>
          </w:rPr>
          <w:t>4</w:t>
        </w:r>
        <w:r>
          <w:rPr>
            <w:rFonts w:ascii="Arial" w:hAnsi="Arial"/>
            <w:sz w:val="13"/>
          </w:rPr>
          <w:fldChar w:fldCharType="end"/>
        </w:r>
      </w:p>
    </w:sdtContent>
  </w:sdt>
  <w:p w:rsidR="003D1FF7" w:rsidRDefault="003D1FF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1583141"/>
      <w:docPartObj>
        <w:docPartGallery w:val="Page Numbers (Top of Page)"/>
      </w:docPartObj>
    </w:sdtPr>
    <w:sdtEndPr/>
    <w:sdtContent>
      <w:p w:rsidR="003D1FF7" w:rsidRDefault="000D0029"/>
    </w:sdtContent>
  </w:sdt>
  <w:p w:rsidR="003D1FF7" w:rsidRDefault="003D1FF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D1FF7"/>
    <w:rsid w:val="000D0029"/>
    <w:rsid w:val="000F7F07"/>
    <w:rsid w:val="003D1FF7"/>
    <w:rsid w:val="005049F6"/>
    <w:rsid w:val="00E12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3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3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3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Balloon Text"/>
    <w:basedOn w:val="a"/>
    <w:link w:val="a5"/>
    <w:uiPriority w:val="99"/>
    <w:semiHidden/>
    <w:unhideWhenUsed/>
    <w:rsid w:val="000F7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7F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2254</Words>
  <Characters>12851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3</cp:revision>
  <cp:lastPrinted>2025-09-22T11:50:00Z</cp:lastPrinted>
  <dcterms:created xsi:type="dcterms:W3CDTF">2025-09-12T09:32:00Z</dcterms:created>
  <dcterms:modified xsi:type="dcterms:W3CDTF">2025-09-22T11:50:00Z</dcterms:modified>
</cp:coreProperties>
</file>